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9A8B1">
      <w:pPr>
        <w:spacing w:line="240" w:lineRule="auto"/>
        <w:rPr>
          <w:sz w:val="20"/>
          <w:szCs w:val="20"/>
        </w:rPr>
      </w:pPr>
      <w:r>
        <w:rPr>
          <w:sz w:val="20"/>
          <w:lang w:bidi="lv-LV"/>
        </w:rPr>
        <w:t>Pepco Poland Sp. z o.o.</w:t>
      </w:r>
    </w:p>
    <w:p w14:paraId="60E9A8B2">
      <w:pPr>
        <w:spacing w:line="240" w:lineRule="auto"/>
        <w:rPr>
          <w:sz w:val="20"/>
          <w:szCs w:val="20"/>
        </w:rPr>
      </w:pPr>
      <w:r>
        <w:rPr>
          <w:sz w:val="20"/>
          <w:lang w:bidi="lv-LV"/>
        </w:rPr>
        <w:t>ul. Strzeszyńska 73a</w:t>
      </w:r>
    </w:p>
    <w:p w14:paraId="60E9A8B3">
      <w:pPr>
        <w:spacing w:line="240" w:lineRule="auto"/>
        <w:rPr>
          <w:sz w:val="20"/>
          <w:szCs w:val="20"/>
        </w:rPr>
      </w:pPr>
      <w:r>
        <w:rPr>
          <w:sz w:val="20"/>
          <w:lang w:bidi="lv-LV"/>
        </w:rPr>
        <w:t>60-479 Poznaņa</w:t>
      </w:r>
    </w:p>
    <w:p w14:paraId="60E9A8B4">
      <w:pPr>
        <w:jc w:val="center"/>
      </w:pPr>
    </w:p>
    <w:p w14:paraId="60E9A8B5">
      <w:pPr>
        <w:jc w:val="center"/>
      </w:pPr>
      <w:r>
        <w:rPr>
          <w:b/>
          <w:shd w:val="clear" w:color="auto" w:fill="FFFFFF"/>
          <w:lang w:bidi="lv-LV"/>
        </w:rPr>
        <w:t xml:space="preserve">ES ATBILSTĪBAS DEKLARĀCIJA </w:t>
      </w:r>
      <w:r>
        <w:rPr>
          <w:lang w:bidi="lv-LV"/>
        </w:rPr>
        <w:t xml:space="preserve"> (NR.</w:t>
      </w:r>
      <w:r>
        <w:rPr>
          <w:rFonts w:hint="default"/>
          <w:color w:val="000000"/>
          <w:shd w:val="clear" w:color="auto" w:fill="FFFFFF"/>
          <w:lang w:val="en-US" w:eastAsia="zh-CN"/>
        </w:rPr>
        <w:t>62987300</w:t>
      </w:r>
      <w:r>
        <w:rPr>
          <w:rFonts w:hint="eastAsia"/>
          <w:color w:val="000000"/>
          <w:shd w:val="clear" w:color="auto" w:fill="FFFFFF"/>
          <w:lang w:val="en-US" w:eastAsia="zh-CN"/>
        </w:rPr>
        <w:t>1</w:t>
      </w:r>
      <w:r>
        <w:rPr>
          <w:lang w:bidi="lv-LV"/>
        </w:rPr>
        <w:t>)</w:t>
      </w:r>
    </w:p>
    <w:p w14:paraId="60E9A8B6">
      <w:pPr>
        <w:jc w:val="center"/>
      </w:pPr>
    </w:p>
    <w:p w14:paraId="60E9A8B7">
      <w:pPr>
        <w:rPr>
          <w:b/>
          <w:bCs/>
        </w:rPr>
      </w:pPr>
      <w:r>
        <w:rPr>
          <w:lang w:bidi="lv-LV"/>
        </w:rPr>
        <w:t xml:space="preserve">1. Individuālais aizsardzības līdzeklis (produkts, tips, partijas vai sērijas numurs): </w:t>
      </w:r>
    </w:p>
    <w:p w14:paraId="0A062868">
      <w:pPr>
        <w:pStyle w:val="12"/>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5C7DE9FF">
      <w:pPr>
        <w:jc w:val="center"/>
        <w:rPr>
          <w:b/>
          <w:bCs/>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72974864"/>
    <w:p w14:paraId="60E9A8BB">
      <w:pPr>
        <w:rPr>
          <w:color w:val="000000"/>
          <w:shd w:val="clear" w:color="auto" w:fill="FFFFFF"/>
        </w:rPr>
      </w:pPr>
      <w:r>
        <w:rPr>
          <w:lang w:bidi="lv-LV"/>
        </w:rPr>
        <w:t xml:space="preserve">2. </w:t>
      </w:r>
      <w:r>
        <w:rPr>
          <w:shd w:val="clear" w:color="auto" w:fill="FFFFFF"/>
          <w:lang w:bidi="lv-LV"/>
        </w:rPr>
        <w:t>Ražotāja nosaukums un adrese un, attiecīgā gadījumā, viņa pilnvarotā pārstāvja nosaukums un adrese:</w:t>
      </w:r>
    </w:p>
    <w:p w14:paraId="4288685F">
      <w:pPr>
        <w:jc w:val="center"/>
        <w:rPr>
          <w:rFonts w:hint="eastAsia" w:eastAsia="宋体"/>
          <w:b/>
          <w:bCs/>
          <w:lang w:val="en-US" w:eastAsia="zh-CN"/>
        </w:rPr>
      </w:pPr>
      <w:r>
        <w:rPr>
          <w:rFonts w:hint="eastAsia" w:eastAsia="宋体"/>
          <w:b/>
          <w:bCs/>
          <w:lang w:val="en-US" w:eastAsia="zh-CN"/>
        </w:rPr>
        <w:t>Ningbo General Union Co., LTD.</w:t>
      </w:r>
    </w:p>
    <w:p w14:paraId="03CCD8A4">
      <w:pPr>
        <w:jc w:val="center"/>
        <w:rPr>
          <w:rFonts w:eastAsia="宋体"/>
          <w:b/>
          <w:bCs/>
          <w:lang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56284521">
      <w:pPr>
        <w:rPr>
          <w:rFonts w:eastAsia="宋体"/>
          <w:b/>
          <w:bCs/>
          <w:lang w:eastAsia="zh-CN"/>
        </w:rPr>
      </w:pPr>
    </w:p>
    <w:p w14:paraId="60E9A8BE">
      <w:pPr>
        <w:rPr>
          <w:color w:val="000000"/>
          <w:shd w:val="clear" w:color="auto" w:fill="FFFFFF"/>
        </w:rPr>
      </w:pPr>
      <w:r>
        <w:rPr>
          <w:lang w:bidi="lv-LV"/>
        </w:rPr>
        <w:t xml:space="preserve">3. </w:t>
      </w:r>
      <w:r>
        <w:rPr>
          <w:shd w:val="clear" w:color="auto" w:fill="FFFFFF"/>
          <w:lang w:bidi="lv-LV"/>
        </w:rPr>
        <w:t>Šī atbilstības deklarācija tika izdota tikai uz ražotāja atbildību:</w:t>
      </w:r>
    </w:p>
    <w:p w14:paraId="3514B1EB">
      <w:pPr>
        <w:jc w:val="center"/>
        <w:rPr>
          <w:rFonts w:hint="eastAsia" w:eastAsia="宋体"/>
          <w:b/>
          <w:bCs/>
          <w:lang w:val="en-US" w:eastAsia="zh-CN"/>
        </w:rPr>
      </w:pPr>
      <w:r>
        <w:rPr>
          <w:rFonts w:hint="eastAsia" w:eastAsia="宋体"/>
          <w:b/>
          <w:bCs/>
          <w:lang w:val="en-US" w:eastAsia="zh-CN"/>
        </w:rPr>
        <w:t>Ningbo General Union Co., LTD.</w:t>
      </w:r>
    </w:p>
    <w:p w14:paraId="25DFEEBF">
      <w:pPr>
        <w:jc w:val="center"/>
        <w:rPr>
          <w:rFonts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4A1A102D">
      <w:pPr>
        <w:rPr>
          <w:rFonts w:eastAsia="宋体"/>
          <w:b/>
          <w:bCs/>
          <w:lang w:eastAsia="zh-CN"/>
        </w:rPr>
      </w:pPr>
    </w:p>
    <w:p w14:paraId="60E9A8C3">
      <w:pPr>
        <w:rPr>
          <w:b/>
          <w:bCs/>
          <w:color w:val="000000"/>
          <w:shd w:val="clear" w:color="auto" w:fill="FFFFFF"/>
          <w:lang w:eastAsia="zh-CN"/>
        </w:rPr>
      </w:pPr>
      <w:r>
        <w:rPr>
          <w:lang w:bidi="lv-LV"/>
        </w:rPr>
        <w:t>4. Deklarācijas priekšmets:</w:t>
      </w:r>
    </w:p>
    <w:p w14:paraId="519D0586">
      <w:pPr>
        <w:rPr>
          <w:b/>
          <w:bCs/>
          <w:color w:val="000000"/>
          <w:shd w:val="clear" w:color="auto" w:fill="FFFFFF"/>
          <w:lang w:eastAsia="zh-CN"/>
        </w:rPr>
      </w:pPr>
    </w:p>
    <w:p w14:paraId="709C802B">
      <w:pPr>
        <w:pStyle w:val="12"/>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7EE78099">
      <w:pPr>
        <w:jc w:val="center"/>
        <w:rPr>
          <w:rFonts w:hint="eastAsia"/>
          <w:color w:val="000000"/>
          <w:shd w:val="clear" w:color="auto" w:fill="FFFFFF"/>
          <w:lang w:val="en-US" w:eastAsia="zh-CN"/>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276A44F8">
      <w:pPr>
        <w:rPr>
          <w:b/>
          <w:bCs/>
        </w:rPr>
      </w:pPr>
    </w:p>
    <w:p w14:paraId="60E9A8C4">
      <w:pPr>
        <w:rPr>
          <w:color w:val="000000"/>
          <w:shd w:val="clear" w:color="auto" w:fill="FFFFFF"/>
        </w:rPr>
      </w:pPr>
      <w:r>
        <w:rPr>
          <w:lang w:bidi="lv-LV"/>
        </w:rPr>
        <w:t xml:space="preserve">5. </w:t>
      </w:r>
      <w:r>
        <w:rPr>
          <w:shd w:val="clear" w:color="auto" w:fill="FFFFFF"/>
          <w:lang w:bidi="lv-LV"/>
        </w:rPr>
        <w:t>Deklarācijas priekšmets, kas minēts 4. punktā, atbilst attiecīgajiem ES saskaņošanas tiesību aktiem:</w:t>
      </w:r>
    </w:p>
    <w:p w14:paraId="60E9A8C5">
      <w:pPr>
        <w:rPr>
          <w:color w:val="000000"/>
          <w:shd w:val="clear" w:color="auto" w:fill="FFFFFF"/>
        </w:rPr>
      </w:pPr>
    </w:p>
    <w:p w14:paraId="60E9A8C6">
      <w:pPr>
        <w:pStyle w:val="12"/>
        <w:numPr>
          <w:ilvl w:val="0"/>
          <w:numId w:val="1"/>
        </w:numPr>
        <w:rPr>
          <w:b/>
        </w:rPr>
      </w:pPr>
      <w:r>
        <w:rPr>
          <w:b/>
          <w:lang w:bidi="lv-LV"/>
        </w:rPr>
        <w:t>2016. gada 9. marta EIROPAS PARLAMENTA UN PADOMES REGULA (ES) 2016/425 par individuālajiem aizsardzības līdzekļiem un ar ko atceļ Padomes Direktīvu 89/686/EEK</w:t>
      </w:r>
    </w:p>
    <w:p w14:paraId="60E9A8C7"/>
    <w:p w14:paraId="60E9A8C8">
      <w:r>
        <w:rPr>
          <w:lang w:bidi="lv-LV"/>
        </w:rPr>
        <w:t>6.  Atsauces uz attiecīgajiem saskaņotajiem standartiem, norādot standarta datumu, vai atsauces uz citām tehniskajām specifikācijām, norādot specifikācijas datumu, attiecībā uz kurām tiek deklarēta atbilstība:</w:t>
      </w:r>
    </w:p>
    <w:p w14:paraId="60E9A8C9"/>
    <w:p w14:paraId="60E9A8CA">
      <w:pPr>
        <w:pStyle w:val="12"/>
        <w:numPr>
          <w:ilvl w:val="0"/>
          <w:numId w:val="2"/>
        </w:numPr>
        <w:jc w:val="both"/>
      </w:pPr>
      <w:r>
        <w:rPr>
          <w:b/>
          <w:lang w:bidi="lv-LV"/>
        </w:rPr>
        <w:t>EN 420:2003+A1:2009</w:t>
      </w:r>
      <w:r>
        <w:rPr>
          <w:lang w:bidi="lv-LV"/>
        </w:rPr>
        <w:t xml:space="preserve"> Aizsargcimdi. Vispārīgās prasības un testa metodes</w:t>
      </w:r>
    </w:p>
    <w:p w14:paraId="60E9A8CB">
      <w:pPr>
        <w:pStyle w:val="12"/>
        <w:numPr>
          <w:ilvl w:val="0"/>
          <w:numId w:val="2"/>
        </w:numPr>
        <w:jc w:val="both"/>
      </w:pPr>
      <w:r>
        <w:rPr>
          <w:b/>
          <w:lang w:bidi="lv-LV"/>
        </w:rPr>
        <w:t>EN 407:2004</w:t>
      </w:r>
      <w:r>
        <w:rPr>
          <w:color w:val="2F2F2F"/>
          <w:sz w:val="18"/>
          <w:shd w:val="clear" w:color="auto" w:fill="FFFFFF"/>
          <w:lang w:bidi="lv-LV"/>
        </w:rPr>
        <w:t xml:space="preserve"> </w:t>
      </w:r>
      <w:r>
        <w:rPr>
          <w:lang w:bidi="lv-LV"/>
        </w:rPr>
        <w:t xml:space="preserve"> Aizsargcimdi pret termoriskiem (karstums un/vai uguns)</w:t>
      </w:r>
    </w:p>
    <w:p w14:paraId="60E9A8CC">
      <w:pPr>
        <w:jc w:val="both"/>
        <w:rPr>
          <w:b/>
          <w:color w:val="000000"/>
          <w:shd w:val="clear" w:color="auto" w:fill="FFFFFF"/>
        </w:rPr>
      </w:pPr>
      <w:r>
        <w:rPr>
          <w:lang w:bidi="lv-LV"/>
        </w:rPr>
        <w:t xml:space="preserve">7. Attiecīgā gadījumā paziņotā struktūra </w:t>
      </w:r>
      <w:r>
        <w:rPr>
          <w:shd w:val="clear" w:color="auto" w:fill="FFFFFF"/>
          <w:lang w:bidi="lv-LV"/>
        </w:rPr>
        <w:t>.......</w:t>
      </w:r>
      <w:r>
        <w:rPr>
          <w:rFonts w:hint="eastAsia"/>
          <w:shd w:val="clear" w:color="auto" w:fill="FFFFFF"/>
          <w:lang w:bidi="en-GB"/>
        </w:rPr>
        <w:t>TÜV SÜD DANMARK ApS</w:t>
      </w:r>
      <w:r>
        <w:rPr>
          <w:shd w:val="clear" w:color="auto" w:fill="FFFFFF"/>
          <w:lang w:bidi="lv-LV"/>
        </w:rPr>
        <w:t xml:space="preserve">.... </w:t>
      </w:r>
      <w:r>
        <w:rPr>
          <w:lang w:bidi="lv-LV"/>
        </w:rPr>
        <w:t>veikusi ES tipa testu (B modulis) un izsniegusi ES tipa testa sertifikātu .......</w:t>
      </w:r>
      <w:r>
        <w:rPr>
          <w:rFonts w:hint="eastAsia"/>
          <w:lang w:bidi="en-GB"/>
        </w:rPr>
        <w:t>DK-PPE001644 i01</w:t>
      </w:r>
      <w:r>
        <w:rPr>
          <w:lang w:bidi="lv-LV"/>
        </w:rPr>
        <w:t>......</w:t>
      </w:r>
    </w:p>
    <w:p w14:paraId="60E9A8CD">
      <w:pPr>
        <w:jc w:val="both"/>
      </w:pPr>
      <w:r>
        <w:rPr>
          <w:lang w:bidi="lv-LV"/>
        </w:rPr>
        <w:t xml:space="preserve">8. Attiecīgā gadījumā uz individuālajiem aizsardzības līdzekļiem attiecas atbilstības novērtēšanas procedūra ... (vai nu atbilstība tipam, pamatojoties uz iekšējo ražošanas kontroli un uzraudzītām produkta pārbaudēm izlases veidā (C2 modulis), vai atbilstība tipam, pamatojoties uz ražošanas procesa kvalitātes nodrošināšanu (D modulis)). ... pilnvarotās iestādes uzraudzībā ... (nosaukums, numurs): </w:t>
      </w:r>
      <w:r>
        <w:rPr>
          <w:b/>
          <w:shd w:val="clear" w:color="auto" w:fill="FFFFFF"/>
          <w:lang w:bidi="lv-LV"/>
        </w:rPr>
        <w:t>nav piemērojams</w:t>
      </w:r>
    </w:p>
    <w:p w14:paraId="60E9A8CE">
      <w:pPr>
        <w:jc w:val="both"/>
        <w:rPr>
          <w:b/>
          <w:color w:val="000000"/>
          <w:shd w:val="clear" w:color="auto" w:fill="FFFFFF"/>
        </w:rPr>
      </w:pPr>
      <w:r>
        <w:rPr>
          <w:lang w:bidi="lv-LV"/>
        </w:rPr>
        <w:t xml:space="preserve">9. Papildu informācija: </w:t>
      </w:r>
      <w:r>
        <w:rPr>
          <w:b/>
          <w:shd w:val="clear" w:color="auto" w:fill="FFFFFF"/>
          <w:lang w:bidi="lv-LV"/>
        </w:rPr>
        <w:t>nav piemērojama</w:t>
      </w:r>
    </w:p>
    <w:p w14:paraId="60E9A8CF"/>
    <w:p w14:paraId="60E9A8D2">
      <w:pPr>
        <w:rPr>
          <w:b/>
        </w:rPr>
      </w:pPr>
      <w:r>
        <w:rPr>
          <w:shd w:val="clear" w:color="auto" w:fill="FFFFFF"/>
          <w:lang w:bidi="lv-LV"/>
        </w:rPr>
        <w:t>Parakstīts:</w:t>
      </w:r>
      <w:r>
        <w:rPr>
          <w:lang w:bidi="lv-LV"/>
        </w:rPr>
        <w:t xml:space="preserve"> .....</w:t>
      </w:r>
      <w:r>
        <w:rPr>
          <w:rFonts w:hint="eastAsia"/>
          <w:lang w:bidi="en-GB"/>
        </w:rPr>
        <w:t>Ningbo General Union Co., LTD.</w:t>
      </w:r>
      <w:r>
        <w:rPr>
          <w:lang w:bidi="lv-LV"/>
        </w:rPr>
        <w:t xml:space="preserve">.... vārdā </w:t>
      </w:r>
    </w:p>
    <w:p w14:paraId="60E9A8D3"/>
    <w:p w14:paraId="60E9A8D8">
      <w:pPr>
        <w:rPr>
          <w:lang w:val="it-IT"/>
        </w:rPr>
      </w:pPr>
      <w:r>
        <w:rPr>
          <w:lang w:bidi="lv-LV"/>
        </w:rPr>
        <w:t>Datums, ražotājs</w:t>
      </w:r>
    </w:p>
    <w:p w14:paraId="7AEFCF24">
      <w:pPr>
        <w:rPr>
          <w:rFonts w:hint="default" w:eastAsia="宋体"/>
          <w:lang w:val="en-US" w:eastAsia="zh-CN"/>
        </w:rPr>
      </w:pPr>
      <w:r>
        <w:rPr>
          <w:rFonts w:hint="eastAsia" w:eastAsia="宋体"/>
          <w:rtl w:val="0"/>
          <w:lang w:val="en-US" w:eastAsia="zh-CN"/>
        </w:rPr>
        <w:t>Ningbo</w:t>
      </w:r>
      <w:r>
        <w:rPr>
          <w:rtl w:val="0"/>
        </w:rPr>
        <w:t xml:space="preserve">, </w:t>
      </w:r>
      <w:r>
        <w:rPr>
          <w:rFonts w:hint="eastAsia" w:eastAsia="宋体"/>
          <w:rtl w:val="0"/>
          <w:lang w:val="en-US" w:eastAsia="zh-CN"/>
        </w:rPr>
        <w:t>12/11/2025</w:t>
      </w:r>
    </w:p>
    <w:p w14:paraId="3D3A1600">
      <w:pPr>
        <w:rPr>
          <w:rFonts w:hint="eastAsia" w:eastAsia="宋体"/>
          <w:lang w:eastAsia="zh-CN"/>
        </w:rPr>
      </w:pPr>
      <w:r>
        <w:rPr>
          <w:rFonts w:hint="eastAsia" w:eastAsia="宋体"/>
          <w:lang w:eastAsia="zh-CN"/>
        </w:rPr>
        <w:drawing>
          <wp:inline distT="0" distB="0" distL="114300" distR="114300">
            <wp:extent cx="1719580" cy="753110"/>
            <wp:effectExtent l="0" t="0" r="0" b="0"/>
            <wp:docPr id="1" name="图片 1" descr="]4$U]H]9O5[{(ECYR6JWC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U]H]9O5[{(ECYR6JWC4G"/>
                    <pic:cNvPicPr>
                      <a:picLocks noChangeAspect="1"/>
                    </pic:cNvPicPr>
                  </pic:nvPicPr>
                  <pic:blipFill>
                    <a:blip r:embed="rId11"/>
                    <a:stretch>
                      <a:fillRect/>
                    </a:stretch>
                  </pic:blipFill>
                  <pic:spPr>
                    <a:xfrm>
                      <a:off x="0" y="0"/>
                      <a:ext cx="1719580" cy="753110"/>
                    </a:xfrm>
                    <a:prstGeom prst="rect">
                      <a:avLst/>
                    </a:prstGeom>
                  </pic:spPr>
                </pic:pic>
              </a:graphicData>
            </a:graphic>
          </wp:inline>
        </w:drawing>
      </w:r>
    </w:p>
    <w:p w14:paraId="1B479257">
      <w:pPr>
        <w:rPr>
          <w:rFonts w:hint="default" w:eastAsia="宋体"/>
          <w:lang w:val="en-US" w:eastAsia="zh-CN"/>
        </w:rPr>
      </w:pPr>
      <w:r>
        <w:rPr>
          <w:rFonts w:hint="eastAsia" w:eastAsia="宋体"/>
          <w:rtl w:val="0"/>
          <w:lang w:val="en-US" w:eastAsia="zh-CN"/>
        </w:rPr>
        <w:t>Jeff Luo</w:t>
      </w:r>
    </w:p>
    <w:p w14:paraId="5CFEFE84">
      <w:pPr>
        <w:rPr>
          <w:rFonts w:hint="default" w:eastAsia="宋体"/>
          <w:rtl w:val="0"/>
          <w:lang w:val="en-US" w:eastAsia="zh-CN"/>
        </w:rPr>
      </w:pPr>
      <w:r>
        <w:rPr>
          <w:rFonts w:hint="eastAsia" w:eastAsia="宋体"/>
          <w:rtl w:val="0"/>
          <w:lang w:val="en-US" w:eastAsia="zh-CN"/>
        </w:rPr>
        <w:t>General Manager</w:t>
      </w:r>
    </w:p>
    <w:p w14:paraId="61DE944A">
      <w:pPr>
        <w:rPr>
          <w:lang w:val="it-IT"/>
        </w:rPr>
      </w:pPr>
      <w:bookmarkStart w:id="0" w:name="_GoBack"/>
      <w:bookmarkEnd w:id="0"/>
    </w:p>
    <w:p w14:paraId="60E9A8DA">
      <w:pPr>
        <w:rPr>
          <w:lang w:val="it-IT"/>
        </w:rPr>
      </w:pPr>
    </w:p>
    <w:p w14:paraId="60E9A8DB">
      <w:pPr>
        <w:rPr>
          <w:lang w:val="it-IT"/>
        </w:rPr>
      </w:pPr>
    </w:p>
    <w:p w14:paraId="60E9A8DC">
      <w:pPr>
        <w:rPr>
          <w:lang w:val="it-IT"/>
        </w:rPr>
      </w:pPr>
    </w:p>
    <w:sectPr>
      <w:headerReference r:id="rId7" w:type="first"/>
      <w:footerReference r:id="rId9" w:type="first"/>
      <w:headerReference r:id="rId5" w:type="default"/>
      <w:headerReference r:id="rId6" w:type="even"/>
      <w:footerReference r:id="rId8"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875C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CE1A3">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9A8E4">
    <w:pPr>
      <w:pStyle w:val="5"/>
    </w:pPr>
    <w:r>
      <w:drawing>
        <wp:inline distT="0" distB="0" distL="0" distR="0">
          <wp:extent cx="1571625" cy="533400"/>
          <wp:effectExtent l="0" t="0" r="9525" b="0"/>
          <wp:docPr id="1124824039" name="Obraz 1" descr="Obraz zawierający Czcionka, Grafika, logo,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24039" name="Obraz 1" descr="Obraz zawierający Czcionka, Grafika, logo, Jaskrawoniebieski&#10;&#10;Opis wygenerowany automatycznie"/>
                  <pic:cNvPicPr>
                    <a:picLocks noChangeAspect="1"/>
                  </pic:cNvPicPr>
                </pic:nvPicPr>
                <pic:blipFill>
                  <a:blip r:embed="rId1"/>
                  <a:stretch>
                    <a:fillRect/>
                  </a:stretch>
                </pic:blipFill>
                <pic:spPr>
                  <a:xfrm>
                    <a:off x="0" y="0"/>
                    <a:ext cx="1571625" cy="5334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ED9A">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00385">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D4A53"/>
    <w:multiLevelType w:val="multilevel"/>
    <w:tmpl w:val="36AD4A5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CEE7997"/>
    <w:multiLevelType w:val="multilevel"/>
    <w:tmpl w:val="7CEE79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zYTFjZjQ3OTc5NzM2MzZhNjQ3ZmZmZWI0YjA5YTYifQ=="/>
  </w:docVars>
  <w:rsids>
    <w:rsidRoot w:val="00F0556F"/>
    <w:rsid w:val="00076972"/>
    <w:rsid w:val="000E1839"/>
    <w:rsid w:val="00165360"/>
    <w:rsid w:val="00184522"/>
    <w:rsid w:val="001947D0"/>
    <w:rsid w:val="001A0AB6"/>
    <w:rsid w:val="001E6EFF"/>
    <w:rsid w:val="001F2D41"/>
    <w:rsid w:val="002523A0"/>
    <w:rsid w:val="00282497"/>
    <w:rsid w:val="002C46A2"/>
    <w:rsid w:val="002C4D02"/>
    <w:rsid w:val="002C5E18"/>
    <w:rsid w:val="002F7AF6"/>
    <w:rsid w:val="00390E17"/>
    <w:rsid w:val="004013F8"/>
    <w:rsid w:val="00415A8B"/>
    <w:rsid w:val="00463B25"/>
    <w:rsid w:val="004D764B"/>
    <w:rsid w:val="00515AA4"/>
    <w:rsid w:val="00523069"/>
    <w:rsid w:val="005C27D8"/>
    <w:rsid w:val="00607786"/>
    <w:rsid w:val="0062305A"/>
    <w:rsid w:val="00636A36"/>
    <w:rsid w:val="006D4E5A"/>
    <w:rsid w:val="00817EF6"/>
    <w:rsid w:val="0085749F"/>
    <w:rsid w:val="008F6220"/>
    <w:rsid w:val="00904093"/>
    <w:rsid w:val="00A33FC3"/>
    <w:rsid w:val="00A502D8"/>
    <w:rsid w:val="00A640E8"/>
    <w:rsid w:val="00A701F4"/>
    <w:rsid w:val="00AF2478"/>
    <w:rsid w:val="00B64158"/>
    <w:rsid w:val="00B91811"/>
    <w:rsid w:val="00C01BBD"/>
    <w:rsid w:val="00C4220D"/>
    <w:rsid w:val="00CA4750"/>
    <w:rsid w:val="00CF6CB3"/>
    <w:rsid w:val="00D23C5D"/>
    <w:rsid w:val="00D2462F"/>
    <w:rsid w:val="00DC71CE"/>
    <w:rsid w:val="00EB444F"/>
    <w:rsid w:val="00EC6189"/>
    <w:rsid w:val="00F0556F"/>
    <w:rsid w:val="00F4484F"/>
    <w:rsid w:val="00FA6BE8"/>
    <w:rsid w:val="00FE7FFA"/>
    <w:rsid w:val="19D25A34"/>
    <w:rsid w:val="2DCC4D81"/>
    <w:rsid w:val="2E4E18AB"/>
    <w:rsid w:val="3DB70E50"/>
    <w:rsid w:val="44C60B7A"/>
    <w:rsid w:val="4E295BCB"/>
    <w:rsid w:val="62BA50D9"/>
    <w:rsid w:val="70C7326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lv-LV"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spacing w:line="240" w:lineRule="auto"/>
    </w:pPr>
    <w:rPr>
      <w:sz w:val="20"/>
      <w:szCs w:val="20"/>
    </w:rPr>
  </w:style>
  <w:style w:type="paragraph" w:styleId="3">
    <w:name w:val="Balloon Text"/>
    <w:basedOn w:val="1"/>
    <w:link w:val="13"/>
    <w:semiHidden/>
    <w:unhideWhenUsed/>
    <w:qFormat/>
    <w:uiPriority w:val="99"/>
    <w:pPr>
      <w:spacing w:after="0" w:line="240" w:lineRule="auto"/>
    </w:pPr>
    <w:rPr>
      <w:rFonts w:ascii="Tahoma" w:hAnsi="Tahoma" w:cs="Tahoma"/>
      <w:sz w:val="16"/>
      <w:szCs w:val="16"/>
    </w:rPr>
  </w:style>
  <w:style w:type="paragraph" w:styleId="4">
    <w:name w:val="footer"/>
    <w:basedOn w:val="1"/>
    <w:link w:val="11"/>
    <w:unhideWhenUsed/>
    <w:qFormat/>
    <w:uiPriority w:val="99"/>
    <w:pPr>
      <w:tabs>
        <w:tab w:val="center" w:pos="4536"/>
        <w:tab w:val="right" w:pos="9072"/>
      </w:tabs>
      <w:spacing w:after="0" w:line="240" w:lineRule="auto"/>
    </w:pPr>
  </w:style>
  <w:style w:type="paragraph" w:styleId="5">
    <w:name w:val="header"/>
    <w:basedOn w:val="1"/>
    <w:link w:val="10"/>
    <w:unhideWhenUsed/>
    <w:qFormat/>
    <w:uiPriority w:val="99"/>
    <w:pPr>
      <w:tabs>
        <w:tab w:val="center" w:pos="4536"/>
        <w:tab w:val="right" w:pos="9072"/>
      </w:tabs>
      <w:spacing w:after="0" w:line="240" w:lineRule="auto"/>
    </w:p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uiPriority w:val="99"/>
    <w:rPr>
      <w:sz w:val="16"/>
      <w:szCs w:val="16"/>
    </w:rPr>
  </w:style>
  <w:style w:type="character" w:customStyle="1" w:styleId="10">
    <w:name w:val="Nagłówek Znak"/>
    <w:basedOn w:val="8"/>
    <w:link w:val="5"/>
    <w:qFormat/>
    <w:uiPriority w:val="99"/>
  </w:style>
  <w:style w:type="character" w:customStyle="1" w:styleId="11">
    <w:name w:val="Stopka Znak"/>
    <w:basedOn w:val="8"/>
    <w:link w:val="4"/>
    <w:qFormat/>
    <w:uiPriority w:val="99"/>
  </w:style>
  <w:style w:type="paragraph" w:styleId="12">
    <w:name w:val="List Paragraph"/>
    <w:basedOn w:val="1"/>
    <w:qFormat/>
    <w:uiPriority w:val="34"/>
    <w:pPr>
      <w:ind w:left="720"/>
      <w:contextualSpacing/>
    </w:pPr>
  </w:style>
  <w:style w:type="character" w:customStyle="1" w:styleId="13">
    <w:name w:val="Tekst dymka Znak"/>
    <w:basedOn w:val="8"/>
    <w:link w:val="3"/>
    <w:semiHidden/>
    <w:qFormat/>
    <w:uiPriority w:val="99"/>
    <w:rPr>
      <w:rFonts w:ascii="Tahoma" w:hAnsi="Tahoma" w:cs="Tahoma"/>
      <w:sz w:val="16"/>
      <w:szCs w:val="16"/>
    </w:rPr>
  </w:style>
  <w:style w:type="character" w:customStyle="1" w:styleId="14">
    <w:name w:val="Tekst komentarza Znak"/>
    <w:basedOn w:val="8"/>
    <w:link w:val="2"/>
    <w:qFormat/>
    <w:uiPriority w:val="99"/>
    <w:rPr>
      <w:rFonts w:asciiTheme="minorHAnsi" w:hAnsiTheme="minorHAnsi" w:eastAsiaTheme="minorHAnsi" w:cstheme="minorBidi"/>
      <w:lang w:eastAsia="en-US"/>
    </w:rPr>
  </w:style>
  <w:style w:type="character" w:customStyle="1" w:styleId="15">
    <w:name w:val="Temat komentarza Znak"/>
    <w:basedOn w:val="14"/>
    <w:link w:val="6"/>
    <w:semiHidden/>
    <w:qFormat/>
    <w:uiPriority w:val="99"/>
    <w:rPr>
      <w:rFonts w:asciiTheme="minorHAnsi" w:hAnsiTheme="minorHAnsi" w:eastAsiaTheme="minorHAnsi" w:cstheme="minorBidi"/>
      <w:b/>
      <w:bCs/>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bb28c6-3855-4a81-8961-ca2e59a67266" xsi:nil="true"/>
    <lcf76f155ced4ddcb4097134ff3c332f xmlns="f2d96f23-893d-4800-96bf-30d99ab882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D1EBA0ED140A48A2B19F92EDC86CE7" ma:contentTypeVersion="13" ma:contentTypeDescription="Create a new document." ma:contentTypeScope="" ma:versionID="28225fbfe56f7b6cefc4a0cada7c9c53">
  <xsd:schema xmlns:xsd="http://www.w3.org/2001/XMLSchema" xmlns:xs="http://www.w3.org/2001/XMLSchema" xmlns:p="http://schemas.microsoft.com/office/2006/metadata/properties" xmlns:ns2="f2d96f23-893d-4800-96bf-30d99ab88231" xmlns:ns3="18bb28c6-3855-4a81-8961-ca2e59a67266" targetNamespace="http://schemas.microsoft.com/office/2006/metadata/properties" ma:root="true" ma:fieldsID="f14a80ac38f5d4d0b972c4ca9468ffb4" ns2:_="" ns3:_="">
    <xsd:import namespace="f2d96f23-893d-4800-96bf-30d99ab88231"/>
    <xsd:import namespace="18bb28c6-3855-4a81-8961-ca2e59a672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96f23-893d-4800-96bf-30d99ab88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eba3b3-796e-4f73-a16f-4b19468571a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bb28c6-3855-4a81-8961-ca2e59a672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dc58fa4-acd5-40b5-8938-b0e20d7d4975}" ma:internalName="TaxCatchAll" ma:showField="CatchAllData" ma:web="18bb28c6-3855-4a81-8961-ca2e59a672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0AECA-179F-475A-96C9-C265F6C53DA0}">
  <ds:schemaRefs/>
</ds:datastoreItem>
</file>

<file path=customXml/itemProps2.xml><?xml version="1.0" encoding="utf-8"?>
<ds:datastoreItem xmlns:ds="http://schemas.openxmlformats.org/officeDocument/2006/customXml" ds:itemID="{66AE33E6-79B8-4B84-813E-2B5C5D1DDB73}">
  <ds:schemaRefs/>
</ds:datastoreItem>
</file>

<file path=customXml/itemProps3.xml><?xml version="1.0" encoding="utf-8"?>
<ds:datastoreItem xmlns:ds="http://schemas.openxmlformats.org/officeDocument/2006/customXml" ds:itemID="{5780B3A4-0D8D-430A-8905-DDFB6D71A387}">
  <ds:schemaRefs/>
</ds:datastoreItem>
</file>

<file path=docProps/app.xml><?xml version="1.0" encoding="utf-8"?>
<Properties xmlns="http://schemas.openxmlformats.org/officeDocument/2006/extended-properties" xmlns:vt="http://schemas.openxmlformats.org/officeDocument/2006/docPropsVTypes">
  <Template>Normal.dotm</Template>
  <Company>PEPCO</Company>
  <Pages>2</Pages>
  <Words>204</Words>
  <Characters>1493</Characters>
  <Lines>12</Lines>
  <Paragraphs>3</Paragraphs>
  <TotalTime>0</TotalTime>
  <ScaleCrop>false</ScaleCrop>
  <LinksUpToDate>false</LinksUpToDate>
  <CharactersWithSpaces>1684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2025-03-20T15:05:00Z</dcterms:created>
  <dc:creator>Anna Wróblewska</dc:creator>
  <cp:lastModifiedBy>CCC.</cp:lastModifiedBy>
  <dcterms:modified xsi:type="dcterms:W3CDTF">2025-11-21T03:20:18Z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E0ED3071E7FE4F5CADF0388A8C339DE8_13</vt:lpwstr>
  </property>
  <property fmtid="{D5CDD505-2E9C-101B-9397-08002B2CF9AE}" pid="4" name="ContentTypeId">
    <vt:lpwstr>0x01010024D1EBA0ED140A48A2B19F92EDC86CE7</vt:lpwstr>
  </property>
  <property fmtid="{D5CDD505-2E9C-101B-9397-08002B2CF9AE}" pid="5" name="KSOTemplateDocerSaveRecord">
    <vt:lpwstr>eyJoZGlkIjoiMDMwNDI4ZWI2NjNmN2MzMjFhODllYTI0NGU2MjI3M2YiLCJ1c2VySWQiOiI2OTY5Njg0OTYifQ==</vt:lpwstr>
  </property>
</Properties>
</file>